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176" w:tblpY="75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2"/>
      </w:tblGrid>
      <w:tr w:rsidR="00B2299A" w:rsidRPr="003A6E57" w:rsidTr="003A6E57">
        <w:tc>
          <w:tcPr>
            <w:tcW w:w="9782" w:type="dxa"/>
          </w:tcPr>
          <w:p w:rsidR="00B2299A" w:rsidRPr="003A6E57" w:rsidRDefault="00B2299A" w:rsidP="003A6E57">
            <w:pPr>
              <w:pStyle w:val="titre2"/>
              <w:shd w:val="clear" w:color="auto" w:fill="FFFFFF"/>
              <w:jc w:val="center"/>
              <w:rPr>
                <w:b/>
                <w:bCs/>
                <w:color w:val="000000"/>
                <w:sz w:val="20"/>
                <w:szCs w:val="20"/>
              </w:rPr>
            </w:pPr>
            <w:r w:rsidRPr="003A6E57">
              <w:rPr>
                <w:b/>
                <w:bCs/>
                <w:iCs/>
                <w:color w:val="000000"/>
                <w:sz w:val="20"/>
                <w:szCs w:val="20"/>
              </w:rPr>
              <w:t xml:space="preserve">Descartes, </w:t>
            </w:r>
            <w:r w:rsidRPr="003A6E57">
              <w:rPr>
                <w:b/>
                <w:bCs/>
                <w:i/>
                <w:iCs/>
                <w:color w:val="000000"/>
                <w:sz w:val="20"/>
                <w:szCs w:val="20"/>
              </w:rPr>
              <w:t>Lettre au marquis de Newcastle</w:t>
            </w:r>
            <w:r w:rsidRPr="003A6E57">
              <w:rPr>
                <w:b/>
                <w:bCs/>
                <w:iCs/>
                <w:color w:val="000000"/>
                <w:sz w:val="20"/>
                <w:szCs w:val="20"/>
              </w:rPr>
              <w:t xml:space="preserve">, </w:t>
            </w:r>
            <w:r w:rsidRPr="003A6E57">
              <w:rPr>
                <w:b/>
                <w:bCs/>
                <w:color w:val="000000"/>
                <w:sz w:val="20"/>
                <w:szCs w:val="20"/>
              </w:rPr>
              <w:t>23 novembre 1646</w:t>
            </w:r>
          </w:p>
          <w:p w:rsidR="00B2299A" w:rsidRPr="003A6E57" w:rsidRDefault="00B2299A" w:rsidP="003A6E57">
            <w:pPr>
              <w:jc w:val="both"/>
              <w:rPr>
                <w:rFonts w:ascii="Times New Roman" w:hAnsi="Times New Roman"/>
                <w:color w:val="000000"/>
                <w:sz w:val="20"/>
                <w:szCs w:val="20"/>
              </w:rPr>
            </w:pPr>
            <w:r w:rsidRPr="003A6E57">
              <w:rPr>
                <w:rFonts w:ascii="Times New Roman" w:hAnsi="Times New Roman"/>
                <w:color w:val="000000"/>
                <w:sz w:val="20"/>
                <w:szCs w:val="20"/>
                <w:shd w:val="clear" w:color="auto" w:fill="FFFFFF"/>
              </w:rPr>
              <w:t>Pour ce qui est de </w:t>
            </w:r>
            <w:hyperlink r:id="rId6" w:anchor="entendement" w:history="1">
              <w:r w:rsidRPr="003A6E57">
                <w:rPr>
                  <w:rStyle w:val="Lienhypertexte"/>
                  <w:rFonts w:ascii="Times New Roman" w:hAnsi="Times New Roman"/>
                  <w:bCs/>
                  <w:color w:val="000000"/>
                  <w:sz w:val="20"/>
                  <w:szCs w:val="20"/>
                  <w:shd w:val="clear" w:color="auto" w:fill="FFFFFF"/>
                </w:rPr>
                <w:t>l'entendement</w:t>
              </w:r>
            </w:hyperlink>
            <w:r w:rsidRPr="003A6E57">
              <w:rPr>
                <w:rFonts w:ascii="Times New Roman" w:hAnsi="Times New Roman"/>
                <w:color w:val="000000"/>
                <w:sz w:val="20"/>
                <w:szCs w:val="20"/>
                <w:shd w:val="clear" w:color="auto" w:fill="FFFFFF"/>
              </w:rPr>
              <w:t> ou de la pensée que Montaigne et quelques autres attribuent aux bêtes, je ne puis être de leur avis. (…) je considère qu'ils ne nous imitent ou surpassent, qu'en celles de nos actions qui ne sont point conduites par notre pensée; car il arrive souvent que nous marchons et que nous mangeons, sans penser en aucune façon à ce que nous faisons, et c'est tellement sans user de </w:t>
            </w:r>
            <w:hyperlink r:id="rId7" w:anchor="raison" w:history="1">
              <w:r w:rsidRPr="003A6E57">
                <w:rPr>
                  <w:rStyle w:val="Lienhypertexte"/>
                  <w:rFonts w:ascii="Times New Roman" w:hAnsi="Times New Roman"/>
                  <w:bCs/>
                  <w:color w:val="000000"/>
                  <w:sz w:val="20"/>
                  <w:szCs w:val="20"/>
                  <w:shd w:val="clear" w:color="auto" w:fill="FFFFFF"/>
                </w:rPr>
                <w:t>notre raison</w:t>
              </w:r>
            </w:hyperlink>
            <w:r w:rsidRPr="003A6E57">
              <w:rPr>
                <w:rFonts w:ascii="Times New Roman" w:hAnsi="Times New Roman"/>
                <w:color w:val="000000"/>
                <w:sz w:val="20"/>
                <w:szCs w:val="20"/>
                <w:shd w:val="clear" w:color="auto" w:fill="FFFFFF"/>
              </w:rPr>
              <w:t> que nous repoussons les choses qui nous nuisent, et parons les coups que l'on nous porte, qu'encore que nous </w:t>
            </w:r>
            <w:hyperlink r:id="rId8" w:anchor="vouloir" w:history="1">
              <w:r w:rsidRPr="003A6E57">
                <w:rPr>
                  <w:rStyle w:val="Lienhypertexte"/>
                  <w:rFonts w:ascii="Times New Roman" w:hAnsi="Times New Roman"/>
                  <w:bCs/>
                  <w:color w:val="000000"/>
                  <w:sz w:val="20"/>
                  <w:szCs w:val="20"/>
                  <w:shd w:val="clear" w:color="auto" w:fill="FFFFFF"/>
                </w:rPr>
                <w:t>voulussions expressément</w:t>
              </w:r>
            </w:hyperlink>
            <w:r w:rsidRPr="003A6E57">
              <w:rPr>
                <w:rFonts w:ascii="Times New Roman" w:hAnsi="Times New Roman"/>
                <w:color w:val="000000"/>
                <w:sz w:val="20"/>
                <w:szCs w:val="20"/>
                <w:shd w:val="clear" w:color="auto" w:fill="FFFFFF"/>
              </w:rPr>
              <w:t> ne point mettre nos mains devant notre tête, lorsqu'il arrive que nous tombons, nous ne pourrions nous en empêcher. Je crois aussi que nous mangerions, comme les bêtes, sans l'avoir appris, si nous n'avions aucune pensée; et l'on dit que ceux qui marchent en dormant, passent quelquefois des rivières à nage, où ils se noieraient étant éveillés. Pour les mouvements de</w:t>
            </w:r>
            <w:hyperlink r:id="rId9" w:anchor="passions" w:history="1">
              <w:r w:rsidRPr="003A6E57">
                <w:rPr>
                  <w:rStyle w:val="Lienhypertexte"/>
                  <w:rFonts w:ascii="Times New Roman" w:hAnsi="Times New Roman"/>
                  <w:bCs/>
                  <w:color w:val="000000"/>
                  <w:sz w:val="20"/>
                  <w:szCs w:val="20"/>
                  <w:shd w:val="clear" w:color="auto" w:fill="FFFFFF"/>
                </w:rPr>
                <w:t> nos passions</w:t>
              </w:r>
            </w:hyperlink>
            <w:r w:rsidRPr="003A6E57">
              <w:rPr>
                <w:rFonts w:ascii="Times New Roman" w:hAnsi="Times New Roman"/>
                <w:color w:val="000000"/>
                <w:sz w:val="20"/>
                <w:szCs w:val="20"/>
                <w:shd w:val="clear" w:color="auto" w:fill="FFFFFF"/>
              </w:rPr>
              <w:t> bien qu'ils soient accompagnés en nous de pensée, à cause que nous avons la faculté de penser, il est néanmoins très évident qu'ils ne dépendent pas d'elle, parce qu'ils se font souvent malgré nous, et que, par conséquent, ils peuvent être dans les bêtes, et même plus violents qu'ils ne sont dans les hommes, </w:t>
            </w:r>
            <w:hyperlink r:id="rId10" w:anchor="conclure" w:history="1">
              <w:r w:rsidRPr="003A6E57">
                <w:rPr>
                  <w:rStyle w:val="Lienhypertexte"/>
                  <w:rFonts w:ascii="Times New Roman" w:hAnsi="Times New Roman"/>
                  <w:bCs/>
                  <w:color w:val="000000"/>
                  <w:sz w:val="20"/>
                  <w:szCs w:val="20"/>
                  <w:shd w:val="clear" w:color="auto" w:fill="FFFFFF"/>
                </w:rPr>
                <w:t>sans qu'on puisse, pour cela, conclure qu'elles aient des pensées.</w:t>
              </w:r>
            </w:hyperlink>
          </w:p>
          <w:p w:rsidR="00B2299A" w:rsidRPr="003A6E57" w:rsidRDefault="00B2299A" w:rsidP="003A6E57">
            <w:pPr>
              <w:jc w:val="both"/>
              <w:rPr>
                <w:rFonts w:ascii="Times New Roman" w:hAnsi="Times New Roman"/>
                <w:color w:val="000000"/>
                <w:sz w:val="20"/>
                <w:szCs w:val="20"/>
                <w:shd w:val="clear" w:color="auto" w:fill="FFFFFF"/>
              </w:rPr>
            </w:pPr>
            <w:r w:rsidRPr="003A6E57">
              <w:rPr>
                <w:rFonts w:ascii="Times New Roman" w:hAnsi="Times New Roman"/>
                <w:color w:val="000000"/>
                <w:sz w:val="20"/>
                <w:szCs w:val="20"/>
                <w:shd w:val="clear" w:color="auto" w:fill="FFFFFF"/>
              </w:rPr>
              <w:t>Enfin il n'y a aucune de nos actions extérieures, qui puisse assurer ceux qui les examinent, </w:t>
            </w:r>
            <w:hyperlink r:id="rId11" w:anchor="machine" w:history="1">
              <w:r w:rsidRPr="003A6E57">
                <w:rPr>
                  <w:rStyle w:val="Lienhypertexte"/>
                  <w:rFonts w:ascii="Times New Roman" w:hAnsi="Times New Roman"/>
                  <w:bCs/>
                  <w:color w:val="000000"/>
                  <w:sz w:val="20"/>
                  <w:szCs w:val="20"/>
                  <w:shd w:val="clear" w:color="auto" w:fill="FFFFFF"/>
                </w:rPr>
                <w:t>que notre corps n'est pas seulement une machine qui se remue de soi-même,</w:t>
              </w:r>
            </w:hyperlink>
            <w:r w:rsidRPr="003A6E57">
              <w:rPr>
                <w:rFonts w:ascii="Times New Roman" w:hAnsi="Times New Roman"/>
                <w:color w:val="000000"/>
                <w:sz w:val="20"/>
                <w:szCs w:val="20"/>
                <w:shd w:val="clear" w:color="auto" w:fill="FFFFFF"/>
              </w:rPr>
              <w:t> mais qu'il y a aussi en lui une âme qui a des pensées, excepté les paroles, </w:t>
            </w:r>
            <w:hyperlink r:id="rId12" w:anchor="signes" w:history="1">
              <w:r w:rsidRPr="003A6E57">
                <w:rPr>
                  <w:rStyle w:val="Lienhypertexte"/>
                  <w:rFonts w:ascii="Times New Roman" w:hAnsi="Times New Roman"/>
                  <w:bCs/>
                  <w:color w:val="000000"/>
                  <w:sz w:val="20"/>
                  <w:szCs w:val="20"/>
                  <w:shd w:val="clear" w:color="auto" w:fill="FFFFFF"/>
                </w:rPr>
                <w:t>ou autres signes</w:t>
              </w:r>
            </w:hyperlink>
            <w:r w:rsidRPr="003A6E57">
              <w:rPr>
                <w:rFonts w:ascii="Times New Roman" w:hAnsi="Times New Roman"/>
                <w:color w:val="000000"/>
                <w:sz w:val="20"/>
                <w:szCs w:val="20"/>
                <w:shd w:val="clear" w:color="auto" w:fill="FFFFFF"/>
              </w:rPr>
              <w:t> faits </w:t>
            </w:r>
            <w:hyperlink r:id="rId13" w:anchor="apropos" w:history="1">
              <w:r w:rsidRPr="003A6E57">
                <w:rPr>
                  <w:rStyle w:val="Lienhypertexte"/>
                  <w:rFonts w:ascii="Times New Roman" w:hAnsi="Times New Roman"/>
                  <w:bCs/>
                  <w:color w:val="000000"/>
                  <w:sz w:val="20"/>
                  <w:szCs w:val="20"/>
                  <w:shd w:val="clear" w:color="auto" w:fill="FFFFFF"/>
                </w:rPr>
                <w:t>à propos des sujets</w:t>
              </w:r>
            </w:hyperlink>
            <w:r w:rsidRPr="003A6E57">
              <w:rPr>
                <w:rFonts w:ascii="Times New Roman" w:hAnsi="Times New Roman"/>
                <w:color w:val="000000"/>
                <w:sz w:val="20"/>
                <w:szCs w:val="20"/>
                <w:shd w:val="clear" w:color="auto" w:fill="FFFFFF"/>
              </w:rPr>
              <w:t> qui se présentent, </w:t>
            </w:r>
            <w:hyperlink r:id="rId14" w:anchor="rapporter" w:history="1">
              <w:r w:rsidRPr="003A6E57">
                <w:rPr>
                  <w:rStyle w:val="Lienhypertexte"/>
                  <w:rFonts w:ascii="Times New Roman" w:hAnsi="Times New Roman"/>
                  <w:bCs/>
                  <w:color w:val="000000"/>
                  <w:sz w:val="20"/>
                  <w:szCs w:val="20"/>
                  <w:shd w:val="clear" w:color="auto" w:fill="FFFFFF"/>
                </w:rPr>
                <w:t>sans se rapporter à aucune passion.</w:t>
              </w:r>
            </w:hyperlink>
            <w:r w:rsidRPr="003A6E57">
              <w:rPr>
                <w:rFonts w:ascii="Times New Roman" w:hAnsi="Times New Roman"/>
                <w:color w:val="000000"/>
                <w:sz w:val="20"/>
                <w:szCs w:val="20"/>
                <w:shd w:val="clear" w:color="auto" w:fill="FFFFFF"/>
              </w:rPr>
              <w:t> Je dis les paroles ou autres signes, parce que les muets se servent de signes en même façon que nous de la voix; et que ces signes soient à propos, pour </w:t>
            </w:r>
            <w:hyperlink r:id="rId15" w:anchor="exclure" w:history="1">
              <w:r w:rsidRPr="003A6E57">
                <w:rPr>
                  <w:rStyle w:val="Lienhypertexte"/>
                  <w:rFonts w:ascii="Times New Roman" w:hAnsi="Times New Roman"/>
                  <w:bCs/>
                  <w:color w:val="000000"/>
                  <w:sz w:val="20"/>
                  <w:szCs w:val="20"/>
                  <w:shd w:val="clear" w:color="auto" w:fill="FFFFFF"/>
                </w:rPr>
                <w:t>exclure</w:t>
              </w:r>
            </w:hyperlink>
            <w:r w:rsidRPr="003A6E57">
              <w:rPr>
                <w:rFonts w:ascii="Times New Roman" w:hAnsi="Times New Roman"/>
                <w:color w:val="000000"/>
                <w:sz w:val="20"/>
                <w:szCs w:val="20"/>
                <w:shd w:val="clear" w:color="auto" w:fill="FFFFFF"/>
              </w:rPr>
              <w:t> le parler des perroquets, sans exclure celui des fous, qui ne laisse pas d'être à propos des sujets qui se présentent, bien qu'il ne suive pas la raison; et j'ajoute que ces paroles ou signes ne se doivent rapporter à aucune passion, pour exclure non seulement les cris de joie ou de tristesse, et semblables, mais aussi tout ce qui peut être enseigné par artifice aux animaux; car si on apprend à une pie à dire bonjour à sa maîtresse lorsqu'elle la voit arriver, ce ne peut être qu'en faisant que la prolation de cette parole devienne </w:t>
            </w:r>
            <w:hyperlink r:id="rId16" w:anchor="mouvement" w:history="1">
              <w:r w:rsidRPr="003A6E57">
                <w:rPr>
                  <w:rStyle w:val="Lienhypertexte"/>
                  <w:rFonts w:ascii="Times New Roman" w:hAnsi="Times New Roman"/>
                  <w:bCs/>
                  <w:color w:val="000000"/>
                  <w:sz w:val="20"/>
                  <w:szCs w:val="20"/>
                  <w:shd w:val="clear" w:color="auto" w:fill="FFFFFF"/>
                </w:rPr>
                <w:t>le mouvement de quelqu'une de ses passions;</w:t>
              </w:r>
            </w:hyperlink>
            <w:r w:rsidRPr="003A6E57">
              <w:rPr>
                <w:rFonts w:ascii="Times New Roman" w:hAnsi="Times New Roman"/>
                <w:color w:val="000000"/>
                <w:sz w:val="20"/>
                <w:szCs w:val="20"/>
                <w:shd w:val="clear" w:color="auto" w:fill="FFFFFF"/>
              </w:rPr>
              <w:t> à savoir, ce sera un mouvement de l'espérance qu'elle a de manger, si l'on a toujours accoutumé de lui donner quelque friandise lorsqu'elle l'a dit; et ainsi toutes les choses qu'on fait faire aux chiens, aux chevaux et aux singes, ne sont que des mouvements de leur crainte, de leur espérance, ou de leur joie, en sorte qu'ils les peuvent faire sans aucune pensée. Or il est, ce me semble, fort remarquable que </w:t>
            </w:r>
            <w:hyperlink r:id="rId17" w:anchor="homme" w:history="1">
              <w:r w:rsidRPr="003A6E57">
                <w:rPr>
                  <w:rStyle w:val="Lienhypertexte"/>
                  <w:rFonts w:ascii="Times New Roman" w:hAnsi="Times New Roman"/>
                  <w:bCs/>
                  <w:color w:val="000000"/>
                  <w:sz w:val="20"/>
                  <w:szCs w:val="20"/>
                  <w:shd w:val="clear" w:color="auto" w:fill="FFFFFF"/>
                </w:rPr>
                <w:t>la parole, étant ainsi définie, ne convient qu'à l'homme seul.</w:t>
              </w:r>
            </w:hyperlink>
            <w:r w:rsidRPr="003A6E57">
              <w:rPr>
                <w:rFonts w:ascii="Times New Roman" w:hAnsi="Times New Roman"/>
                <w:color w:val="000000"/>
                <w:sz w:val="20"/>
                <w:szCs w:val="20"/>
                <w:shd w:val="clear" w:color="auto" w:fill="FFFFFF"/>
              </w:rPr>
              <w:t> Car, bien que Montagne et Charon aient dit qu'il y a plus de différence d'homme à homme, que d'homme à bête, il ne s'est toutefois jamais trouvé aucune bête si parfaite, qu'elle ait usé de quelque signe, pour faire entendre à d'autres animaux quelque chose qui n'eût point de rapport à ses passions; et il n'y a point d'homme si imparfait, qu'il n'en use; en sorte que ceux qui sont sourds et muets, inventent des signes particuliers, </w:t>
            </w:r>
            <w:hyperlink r:id="rId18" w:anchor="exprime" w:history="1">
              <w:r w:rsidRPr="003A6E57">
                <w:rPr>
                  <w:rStyle w:val="Lienhypertexte"/>
                  <w:rFonts w:ascii="Times New Roman" w:hAnsi="Times New Roman"/>
                  <w:bCs/>
                  <w:color w:val="000000"/>
                  <w:sz w:val="20"/>
                  <w:szCs w:val="20"/>
                  <w:shd w:val="clear" w:color="auto" w:fill="FFFFFF"/>
                </w:rPr>
                <w:t>par lesquels ils expriment leurs pensées. </w:t>
              </w:r>
            </w:hyperlink>
            <w:r w:rsidRPr="003A6E57">
              <w:rPr>
                <w:rFonts w:ascii="Times New Roman" w:hAnsi="Times New Roman"/>
                <w:color w:val="000000"/>
                <w:sz w:val="20"/>
                <w:szCs w:val="20"/>
                <w:shd w:val="clear" w:color="auto" w:fill="FFFFFF"/>
              </w:rPr>
              <w:t>Ce qui me semble un très fort argument pour prouver que ce qui fait que les bêtes ne parlent point comme nous, est qu'elles n'ont aucune pensée, et non point que </w:t>
            </w:r>
            <w:hyperlink r:id="rId19" w:anchor="organes" w:history="1">
              <w:r w:rsidRPr="003A6E57">
                <w:rPr>
                  <w:rStyle w:val="Lienhypertexte"/>
                  <w:rFonts w:ascii="Times New Roman" w:hAnsi="Times New Roman"/>
                  <w:bCs/>
                  <w:color w:val="000000"/>
                  <w:sz w:val="20"/>
                  <w:szCs w:val="20"/>
                  <w:shd w:val="clear" w:color="auto" w:fill="FFFFFF"/>
                </w:rPr>
                <w:t>les organes</w:t>
              </w:r>
            </w:hyperlink>
            <w:r w:rsidRPr="003A6E57">
              <w:rPr>
                <w:rFonts w:ascii="Times New Roman" w:hAnsi="Times New Roman"/>
                <w:color w:val="000000"/>
                <w:sz w:val="20"/>
                <w:szCs w:val="20"/>
                <w:shd w:val="clear" w:color="auto" w:fill="FFFFFF"/>
              </w:rPr>
              <w:t> leur manquent. Et on ne peut dire qu'elles parlent entre elles, mais que nous ne les entendons pas; car, comme les chiens et quelques autres animaux nous expriment leurs passions, ils nous exprimeraient aussi bien leurs pensées, s'ils en avaient.</w:t>
            </w:r>
          </w:p>
        </w:tc>
      </w:tr>
    </w:tbl>
    <w:p w:rsidR="00B2299A" w:rsidRPr="003A6E57" w:rsidRDefault="003A6E57" w:rsidP="00B2299A">
      <w:pPr>
        <w:jc w:val="center"/>
        <w:rPr>
          <w:rFonts w:ascii="Times New Roman" w:hAnsi="Times New Roman"/>
          <w:b/>
          <w:sz w:val="20"/>
          <w:szCs w:val="20"/>
        </w:rPr>
      </w:pPr>
      <w:r w:rsidRPr="003A6E57">
        <w:rPr>
          <w:rFonts w:ascii="Times New Roman" w:hAnsi="Times New Roman"/>
          <w:b/>
          <w:sz w:val="20"/>
          <w:szCs w:val="20"/>
        </w:rPr>
        <w:t xml:space="preserve">Séquence </w:t>
      </w:r>
      <w:r w:rsidR="00B2299A" w:rsidRPr="003A6E57">
        <w:rPr>
          <w:rFonts w:ascii="Times New Roman" w:hAnsi="Times New Roman"/>
          <w:b/>
          <w:sz w:val="20"/>
          <w:szCs w:val="20"/>
        </w:rPr>
        <w:t xml:space="preserve">HLP 1ere- </w:t>
      </w:r>
      <w:r w:rsidRPr="003A6E57">
        <w:rPr>
          <w:rFonts w:ascii="Times New Roman" w:hAnsi="Times New Roman"/>
          <w:b/>
          <w:sz w:val="20"/>
          <w:szCs w:val="20"/>
        </w:rPr>
        <w:t>L’homme et l’animal</w:t>
      </w:r>
    </w:p>
    <w:p w:rsidR="00F91932" w:rsidRPr="003A6E57" w:rsidRDefault="00F91932">
      <w:pPr>
        <w:rPr>
          <w:rFonts w:ascii="Times New Roman" w:hAnsi="Times New Roman"/>
          <w:sz w:val="20"/>
          <w:szCs w:val="20"/>
        </w:rPr>
      </w:pPr>
    </w:p>
    <w:tbl>
      <w:tblPr>
        <w:tblStyle w:val="Grilledutableau"/>
        <w:tblW w:w="9782" w:type="dxa"/>
        <w:tblInd w:w="-176" w:type="dxa"/>
        <w:tblLook w:val="04A0"/>
      </w:tblPr>
      <w:tblGrid>
        <w:gridCol w:w="9782"/>
      </w:tblGrid>
      <w:tr w:rsidR="003A6E57" w:rsidTr="003A6E57">
        <w:tc>
          <w:tcPr>
            <w:tcW w:w="9782" w:type="dxa"/>
          </w:tcPr>
          <w:p w:rsidR="003A6E57" w:rsidRPr="003A6E57" w:rsidRDefault="003A6E57" w:rsidP="003A6E57">
            <w:pPr>
              <w:ind w:left="708"/>
              <w:jc w:val="center"/>
              <w:rPr>
                <w:rFonts w:ascii="Times New Roman" w:hAnsi="Times New Roman"/>
                <w:b/>
                <w:sz w:val="20"/>
                <w:szCs w:val="20"/>
              </w:rPr>
            </w:pPr>
            <w:r w:rsidRPr="003A6E57">
              <w:rPr>
                <w:rFonts w:ascii="Times New Roman" w:hAnsi="Times New Roman"/>
                <w:b/>
                <w:sz w:val="20"/>
                <w:szCs w:val="20"/>
              </w:rPr>
              <w:t xml:space="preserve">Descartes, </w:t>
            </w:r>
            <w:r w:rsidRPr="003A6E57">
              <w:rPr>
                <w:rFonts w:ascii="Times New Roman" w:hAnsi="Times New Roman"/>
                <w:b/>
                <w:i/>
                <w:sz w:val="20"/>
                <w:szCs w:val="20"/>
              </w:rPr>
              <w:t>Traité du monde</w:t>
            </w:r>
            <w:r w:rsidRPr="003A6E57">
              <w:rPr>
                <w:rFonts w:ascii="Times New Roman" w:hAnsi="Times New Roman"/>
                <w:b/>
                <w:sz w:val="20"/>
                <w:szCs w:val="20"/>
              </w:rPr>
              <w:t xml:space="preserve"> (1630)</w:t>
            </w:r>
          </w:p>
          <w:p w:rsidR="003A6E57" w:rsidRPr="003A6E57" w:rsidRDefault="003A6E57" w:rsidP="003A6E57">
            <w:pPr>
              <w:jc w:val="both"/>
              <w:rPr>
                <w:rFonts w:ascii="Times New Roman" w:hAnsi="Times New Roman"/>
                <w:sz w:val="20"/>
                <w:szCs w:val="20"/>
              </w:rPr>
            </w:pPr>
            <w:r w:rsidRPr="003A6E57">
              <w:rPr>
                <w:rFonts w:ascii="Times New Roman" w:hAnsi="Times New Roman"/>
                <w:sz w:val="20"/>
                <w:szCs w:val="20"/>
              </w:rPr>
              <w:t>La nature n’est pas une déesse ou quelque autre sorte de puissance imaginaire</w:t>
            </w:r>
            <w:proofErr w:type="gramStart"/>
            <w:r w:rsidRPr="003A6E57">
              <w:rPr>
                <w:rFonts w:ascii="Times New Roman" w:hAnsi="Times New Roman"/>
                <w:sz w:val="20"/>
                <w:szCs w:val="20"/>
              </w:rPr>
              <w:t>..</w:t>
            </w:r>
            <w:proofErr w:type="gramEnd"/>
            <w:r w:rsidRPr="003A6E57">
              <w:rPr>
                <w:rFonts w:ascii="Times New Roman" w:hAnsi="Times New Roman"/>
                <w:sz w:val="20"/>
                <w:szCs w:val="20"/>
              </w:rPr>
              <w:t xml:space="preserve"> mais je me sers de ce mot pour  signifier la matière avec toutes les qualités que je lui ai attribuées comprises ensemble (..) et les règles suivant lesquelles se font des changements dans la nature, je les appelle les lois de la nature.</w:t>
            </w:r>
          </w:p>
          <w:p w:rsidR="003A6E57" w:rsidRDefault="003A6E57" w:rsidP="003A6E57">
            <w:pPr>
              <w:rPr>
                <w:rFonts w:ascii="Times New Roman" w:hAnsi="Times New Roman"/>
                <w:sz w:val="20"/>
                <w:szCs w:val="20"/>
              </w:rPr>
            </w:pPr>
          </w:p>
        </w:tc>
      </w:tr>
    </w:tbl>
    <w:p w:rsidR="003A6E57" w:rsidRDefault="003A6E57" w:rsidP="003A6E57">
      <w:pPr>
        <w:jc w:val="both"/>
        <w:rPr>
          <w:rStyle w:val="Accentuation"/>
          <w:rFonts w:ascii="Times New Roman" w:hAnsi="Times New Roman"/>
          <w:b/>
          <w:i w:val="0"/>
          <w:sz w:val="20"/>
          <w:szCs w:val="20"/>
        </w:rPr>
      </w:pPr>
    </w:p>
    <w:tbl>
      <w:tblPr>
        <w:tblStyle w:val="Grilledutableau"/>
        <w:tblW w:w="9782" w:type="dxa"/>
        <w:tblInd w:w="-176" w:type="dxa"/>
        <w:tblLook w:val="04A0"/>
      </w:tblPr>
      <w:tblGrid>
        <w:gridCol w:w="9782"/>
      </w:tblGrid>
      <w:tr w:rsidR="003A6E57" w:rsidTr="003A6E57">
        <w:tc>
          <w:tcPr>
            <w:tcW w:w="9782" w:type="dxa"/>
          </w:tcPr>
          <w:p w:rsidR="003A6E57" w:rsidRPr="003A6E57" w:rsidRDefault="003A6E57" w:rsidP="003A6E57">
            <w:pPr>
              <w:jc w:val="center"/>
              <w:rPr>
                <w:rStyle w:val="Accentuation"/>
                <w:rFonts w:ascii="Times New Roman" w:hAnsi="Times New Roman"/>
                <w:b/>
                <w:i w:val="0"/>
                <w:sz w:val="20"/>
                <w:szCs w:val="20"/>
              </w:rPr>
            </w:pPr>
            <w:r w:rsidRPr="003A6E57">
              <w:rPr>
                <w:rStyle w:val="Accentuation"/>
                <w:rFonts w:ascii="Times New Roman" w:hAnsi="Times New Roman"/>
                <w:b/>
                <w:i w:val="0"/>
                <w:sz w:val="20"/>
                <w:szCs w:val="20"/>
              </w:rPr>
              <w:t xml:space="preserve">Descartes, </w:t>
            </w:r>
            <w:r w:rsidRPr="003A6E57">
              <w:rPr>
                <w:rStyle w:val="Accentuation"/>
                <w:rFonts w:ascii="Times New Roman" w:hAnsi="Times New Roman"/>
                <w:b/>
                <w:sz w:val="20"/>
                <w:szCs w:val="20"/>
              </w:rPr>
              <w:t>Discours de la méthode</w:t>
            </w:r>
            <w:r w:rsidRPr="003A6E57">
              <w:rPr>
                <w:rStyle w:val="Accentuation"/>
                <w:rFonts w:ascii="Times New Roman" w:hAnsi="Times New Roman"/>
                <w:b/>
                <w:i w:val="0"/>
                <w:sz w:val="20"/>
                <w:szCs w:val="20"/>
              </w:rPr>
              <w:t>, Sixième partie (1637)</w:t>
            </w:r>
          </w:p>
          <w:p w:rsidR="003A6E57" w:rsidRDefault="003A6E57" w:rsidP="003A6E57">
            <w:pPr>
              <w:jc w:val="both"/>
              <w:rPr>
                <w:rStyle w:val="Accentuation"/>
                <w:rFonts w:ascii="Times New Roman" w:hAnsi="Times New Roman"/>
                <w:b/>
                <w:i w:val="0"/>
                <w:sz w:val="20"/>
                <w:szCs w:val="20"/>
              </w:rPr>
            </w:pPr>
            <w:r w:rsidRPr="003A6E57">
              <w:rPr>
                <w:rStyle w:val="Accentuation"/>
                <w:rFonts w:ascii="Times New Roman" w:hAnsi="Times New Roman"/>
                <w:i w:val="0"/>
                <w:sz w:val="20"/>
                <w:szCs w:val="20"/>
              </w:rPr>
              <w:t>Car [ces connaissances] m’ont fait voir qu’il est possible de parvenir à des connaissances qui soient fort utiles à la vie, et qu’au lieu de cette philosophie spéculative, qu’on enseigne dans les écoles, on peut en trouver une pratique, par laquelle connaissant la force et les actions du feu, de l’eau, de l’air, des astres, des cieux et de tous les autres corps qui nous environnent, aussi distinctement que nous connaissons les divers métiers de nos artisans, nous les pourrions employer en même façon à tous les usages auxquels ils sont propres et ainsi </w:t>
            </w:r>
            <w:r w:rsidRPr="003A6E57">
              <w:rPr>
                <w:rStyle w:val="lev"/>
                <w:rFonts w:ascii="Times New Roman" w:hAnsi="Times New Roman"/>
                <w:i/>
                <w:iCs/>
                <w:sz w:val="20"/>
                <w:szCs w:val="20"/>
              </w:rPr>
              <w:t>nous rendre comme maîtres et possesseurs de la nature</w:t>
            </w:r>
            <w:r w:rsidRPr="003A6E57">
              <w:rPr>
                <w:rStyle w:val="Accentuation"/>
                <w:rFonts w:ascii="Times New Roman" w:hAnsi="Times New Roman"/>
                <w:i w:val="0"/>
                <w:sz w:val="20"/>
                <w:szCs w:val="20"/>
              </w:rPr>
              <w:t>. Ce qui n’est pas seulement à désirer pour l’invention d’une infinité d’artifices, qui feraient qu’on jouirait, sans aucune peine, des fruits de la terre et de toutes les commodités qui s’y trouvent, mais principalement aussi pour la conservation de la santé, laquelle est sans doute le premier bien et le fondement de tous les autres biens de cette vie.</w:t>
            </w:r>
          </w:p>
        </w:tc>
      </w:tr>
    </w:tbl>
    <w:p w:rsidR="00B2299A" w:rsidRPr="003A6E57" w:rsidRDefault="00B2299A" w:rsidP="003A6E57">
      <w:pPr>
        <w:jc w:val="both"/>
        <w:rPr>
          <w:rFonts w:ascii="Times New Roman" w:hAnsi="Times New Roman"/>
          <w:i/>
          <w:sz w:val="20"/>
          <w:szCs w:val="20"/>
        </w:rPr>
      </w:pPr>
      <w:r w:rsidRPr="003A6E57">
        <w:rPr>
          <w:rFonts w:ascii="Times New Roman" w:hAnsi="Times New Roman"/>
          <w:i/>
          <w:sz w:val="20"/>
          <w:szCs w:val="20"/>
        </w:rPr>
        <w:br w:type="page"/>
      </w:r>
    </w:p>
    <w:p w:rsidR="003A6E57" w:rsidRPr="003A6E57" w:rsidRDefault="003A6E57">
      <w:pPr>
        <w:rPr>
          <w:rFonts w:ascii="Times New Roman" w:hAnsi="Times New Roman"/>
          <w:sz w:val="20"/>
          <w:szCs w:val="20"/>
        </w:rPr>
      </w:pPr>
    </w:p>
    <w:p w:rsidR="003A6E57" w:rsidRPr="003A6E57" w:rsidRDefault="003A6E57" w:rsidP="00B2299A">
      <w:pPr>
        <w:jc w:val="both"/>
        <w:rPr>
          <w:rFonts w:ascii="Times New Roman" w:hAnsi="Times New Roman"/>
          <w:sz w:val="20"/>
          <w:szCs w:val="20"/>
        </w:rPr>
      </w:pPr>
    </w:p>
    <w:tbl>
      <w:tblPr>
        <w:tblStyle w:val="Grilledutableau"/>
        <w:tblW w:w="0" w:type="auto"/>
        <w:tblLook w:val="04A0"/>
      </w:tblPr>
      <w:tblGrid>
        <w:gridCol w:w="9212"/>
      </w:tblGrid>
      <w:tr w:rsidR="003A6E57" w:rsidRPr="003A6E57" w:rsidTr="00B2299A">
        <w:tc>
          <w:tcPr>
            <w:tcW w:w="9212" w:type="dxa"/>
          </w:tcPr>
          <w:p w:rsidR="00B2299A" w:rsidRPr="003A6E57" w:rsidRDefault="00B2299A" w:rsidP="00B2299A">
            <w:pPr>
              <w:jc w:val="center"/>
              <w:rPr>
                <w:rFonts w:ascii="Times New Roman" w:hAnsi="Times New Roman"/>
                <w:b/>
                <w:sz w:val="20"/>
                <w:szCs w:val="20"/>
              </w:rPr>
            </w:pPr>
            <w:r w:rsidRPr="003A6E57">
              <w:rPr>
                <w:rFonts w:ascii="Times New Roman" w:hAnsi="Times New Roman"/>
                <w:b/>
                <w:sz w:val="20"/>
                <w:szCs w:val="20"/>
              </w:rPr>
              <w:t xml:space="preserve">Bentham, </w:t>
            </w:r>
            <w:r w:rsidRPr="003A6E57">
              <w:rPr>
                <w:rFonts w:ascii="Times New Roman" w:hAnsi="Times New Roman"/>
                <w:b/>
                <w:i/>
                <w:sz w:val="20"/>
                <w:szCs w:val="20"/>
              </w:rPr>
              <w:t>Introduction aux principes de la morale et de la législation</w:t>
            </w:r>
            <w:r w:rsidRPr="003A6E57">
              <w:rPr>
                <w:rFonts w:ascii="Times New Roman" w:hAnsi="Times New Roman"/>
                <w:b/>
                <w:sz w:val="20"/>
                <w:szCs w:val="20"/>
              </w:rPr>
              <w:t xml:space="preserve"> (1789), chapitre 17</w:t>
            </w:r>
          </w:p>
          <w:p w:rsidR="00B2299A" w:rsidRPr="003A6E57" w:rsidRDefault="00B2299A" w:rsidP="00B2299A">
            <w:pPr>
              <w:jc w:val="both"/>
              <w:rPr>
                <w:rFonts w:ascii="Times New Roman" w:hAnsi="Times New Roman"/>
                <w:sz w:val="20"/>
                <w:szCs w:val="20"/>
              </w:rPr>
            </w:pPr>
            <w:r w:rsidRPr="003A6E57">
              <w:rPr>
                <w:rFonts w:ascii="Times New Roman" w:hAnsi="Times New Roman"/>
                <w:sz w:val="20"/>
                <w:szCs w:val="20"/>
              </w:rPr>
              <w:t xml:space="preserve">Quels sont les agents qui, placés dans la sphère d’influence de l’homme, sont susceptibles de bonheur ? Ils sont de deux sortes : d’autres êtres humains, autrement dit des personnes, et d’autres animaux, dont d’anciens juristes négligèrent les intérêts par insensibilité, et qui de ce fait ont été rabaissés au rang d’objets. (…) Mais y a-t-il une seule raison pour que nous tolérions de les torturer ? Je n’en vois aucune. Y en a-t-il une pour que nous refusions de les maltraiter ? Oui, et plusieurs. Autrefois, et j'ai peine à dire qu'en de nombreux endroits cela ne fait pas encore partie du passé, la majeure partie des </w:t>
            </w:r>
            <w:proofErr w:type="spellStart"/>
            <w:r w:rsidRPr="003A6E57">
              <w:rPr>
                <w:rFonts w:ascii="Times New Roman" w:hAnsi="Times New Roman"/>
                <w:sz w:val="20"/>
                <w:szCs w:val="20"/>
              </w:rPr>
              <w:t>espèces</w:t>
            </w:r>
            <w:proofErr w:type="spellEnd"/>
            <w:r w:rsidRPr="003A6E57">
              <w:rPr>
                <w:rFonts w:ascii="Times New Roman" w:hAnsi="Times New Roman"/>
                <w:sz w:val="20"/>
                <w:szCs w:val="20"/>
              </w:rPr>
              <w:t xml:space="preserve">, </w:t>
            </w:r>
            <w:proofErr w:type="spellStart"/>
            <w:r w:rsidRPr="003A6E57">
              <w:rPr>
                <w:rFonts w:ascii="Times New Roman" w:hAnsi="Times New Roman"/>
                <w:sz w:val="20"/>
                <w:szCs w:val="20"/>
              </w:rPr>
              <w:t>rangée</w:t>
            </w:r>
            <w:proofErr w:type="spellEnd"/>
            <w:r w:rsidRPr="003A6E57">
              <w:rPr>
                <w:rFonts w:ascii="Times New Roman" w:hAnsi="Times New Roman"/>
                <w:sz w:val="20"/>
                <w:szCs w:val="20"/>
              </w:rPr>
              <w:t xml:space="preserve"> sous la </w:t>
            </w:r>
            <w:proofErr w:type="spellStart"/>
            <w:r w:rsidRPr="003A6E57">
              <w:rPr>
                <w:rFonts w:ascii="Times New Roman" w:hAnsi="Times New Roman"/>
                <w:sz w:val="20"/>
                <w:szCs w:val="20"/>
              </w:rPr>
              <w:t>dénomination</w:t>
            </w:r>
            <w:proofErr w:type="spellEnd"/>
            <w:r w:rsidRPr="003A6E57">
              <w:rPr>
                <w:rFonts w:ascii="Times New Roman" w:hAnsi="Times New Roman"/>
                <w:sz w:val="20"/>
                <w:szCs w:val="20"/>
              </w:rPr>
              <w:t xml:space="preserve"> d’esclaves, </w:t>
            </w:r>
            <w:proofErr w:type="spellStart"/>
            <w:r w:rsidRPr="003A6E57">
              <w:rPr>
                <w:rFonts w:ascii="Times New Roman" w:hAnsi="Times New Roman"/>
                <w:sz w:val="20"/>
                <w:szCs w:val="20"/>
              </w:rPr>
              <w:t>étaient</w:t>
            </w:r>
            <w:proofErr w:type="spellEnd"/>
            <w:r w:rsidRPr="003A6E57">
              <w:rPr>
                <w:rFonts w:ascii="Times New Roman" w:hAnsi="Times New Roman"/>
                <w:sz w:val="20"/>
                <w:szCs w:val="20"/>
              </w:rPr>
              <w:t xml:space="preserve"> </w:t>
            </w:r>
            <w:proofErr w:type="spellStart"/>
            <w:r w:rsidRPr="003A6E57">
              <w:rPr>
                <w:rFonts w:ascii="Times New Roman" w:hAnsi="Times New Roman"/>
                <w:sz w:val="20"/>
                <w:szCs w:val="20"/>
              </w:rPr>
              <w:t>traitées</w:t>
            </w:r>
            <w:proofErr w:type="spellEnd"/>
            <w:r w:rsidRPr="003A6E57">
              <w:rPr>
                <w:rFonts w:ascii="Times New Roman" w:hAnsi="Times New Roman"/>
                <w:sz w:val="20"/>
                <w:szCs w:val="20"/>
              </w:rPr>
              <w:t xml:space="preserve"> par la loi exactement sur le </w:t>
            </w:r>
            <w:proofErr w:type="spellStart"/>
            <w:r w:rsidRPr="003A6E57">
              <w:rPr>
                <w:rFonts w:ascii="Times New Roman" w:hAnsi="Times New Roman"/>
                <w:sz w:val="20"/>
                <w:szCs w:val="20"/>
              </w:rPr>
              <w:t>même</w:t>
            </w:r>
            <w:proofErr w:type="spellEnd"/>
            <w:r w:rsidRPr="003A6E57">
              <w:rPr>
                <w:rFonts w:ascii="Times New Roman" w:hAnsi="Times New Roman"/>
                <w:sz w:val="20"/>
                <w:szCs w:val="20"/>
              </w:rPr>
              <w:t xml:space="preserve"> pied que, aujourd’hui encore, en Angleterre par exemple, les races </w:t>
            </w:r>
            <w:proofErr w:type="spellStart"/>
            <w:r w:rsidRPr="003A6E57">
              <w:rPr>
                <w:rFonts w:ascii="Times New Roman" w:hAnsi="Times New Roman"/>
                <w:sz w:val="20"/>
                <w:szCs w:val="20"/>
              </w:rPr>
              <w:t>inférieures</w:t>
            </w:r>
            <w:proofErr w:type="spellEnd"/>
            <w:r w:rsidRPr="003A6E57">
              <w:rPr>
                <w:rFonts w:ascii="Times New Roman" w:hAnsi="Times New Roman"/>
                <w:sz w:val="20"/>
                <w:szCs w:val="20"/>
              </w:rPr>
              <w:t xml:space="preserve"> d’animaux. Le jour viendra </w:t>
            </w:r>
            <w:proofErr w:type="spellStart"/>
            <w:r w:rsidRPr="003A6E57">
              <w:rPr>
                <w:rFonts w:ascii="Times New Roman" w:hAnsi="Times New Roman"/>
                <w:sz w:val="20"/>
                <w:szCs w:val="20"/>
              </w:rPr>
              <w:t>peut-être</w:t>
            </w:r>
            <w:proofErr w:type="spellEnd"/>
            <w:r w:rsidRPr="003A6E57">
              <w:rPr>
                <w:rFonts w:ascii="Times New Roman" w:hAnsi="Times New Roman"/>
                <w:sz w:val="20"/>
                <w:szCs w:val="20"/>
              </w:rPr>
              <w:t xml:space="preserve"> où il sera possible au reste de la </w:t>
            </w:r>
            <w:proofErr w:type="spellStart"/>
            <w:r w:rsidRPr="003A6E57">
              <w:rPr>
                <w:rFonts w:ascii="Times New Roman" w:hAnsi="Times New Roman"/>
                <w:sz w:val="20"/>
                <w:szCs w:val="20"/>
              </w:rPr>
              <w:t>création</w:t>
            </w:r>
            <w:proofErr w:type="spellEnd"/>
            <w:r w:rsidRPr="003A6E57">
              <w:rPr>
                <w:rFonts w:ascii="Times New Roman" w:hAnsi="Times New Roman"/>
                <w:sz w:val="20"/>
                <w:szCs w:val="20"/>
              </w:rPr>
              <w:t xml:space="preserve"> animale d’</w:t>
            </w:r>
            <w:proofErr w:type="spellStart"/>
            <w:r w:rsidRPr="003A6E57">
              <w:rPr>
                <w:rFonts w:ascii="Times New Roman" w:hAnsi="Times New Roman"/>
                <w:sz w:val="20"/>
                <w:szCs w:val="20"/>
              </w:rPr>
              <w:t>acquérir</w:t>
            </w:r>
            <w:proofErr w:type="spellEnd"/>
            <w:r w:rsidRPr="003A6E57">
              <w:rPr>
                <w:rFonts w:ascii="Times New Roman" w:hAnsi="Times New Roman"/>
                <w:sz w:val="20"/>
                <w:szCs w:val="20"/>
              </w:rPr>
              <w:t xml:space="preserve"> ces droits qui n'auraient jamais pu lui </w:t>
            </w:r>
            <w:proofErr w:type="spellStart"/>
            <w:r w:rsidRPr="003A6E57">
              <w:rPr>
                <w:rFonts w:ascii="Times New Roman" w:hAnsi="Times New Roman"/>
                <w:sz w:val="20"/>
                <w:szCs w:val="20"/>
              </w:rPr>
              <w:t>être</w:t>
            </w:r>
            <w:proofErr w:type="spellEnd"/>
            <w:r w:rsidRPr="003A6E57">
              <w:rPr>
                <w:rFonts w:ascii="Times New Roman" w:hAnsi="Times New Roman"/>
                <w:sz w:val="20"/>
                <w:szCs w:val="20"/>
              </w:rPr>
              <w:t xml:space="preserve"> </w:t>
            </w:r>
            <w:proofErr w:type="spellStart"/>
            <w:r w:rsidRPr="003A6E57">
              <w:rPr>
                <w:rFonts w:ascii="Times New Roman" w:hAnsi="Times New Roman"/>
                <w:sz w:val="20"/>
                <w:szCs w:val="20"/>
              </w:rPr>
              <w:t>refusés</w:t>
            </w:r>
            <w:proofErr w:type="spellEnd"/>
            <w:r w:rsidRPr="003A6E57">
              <w:rPr>
                <w:rFonts w:ascii="Times New Roman" w:hAnsi="Times New Roman"/>
                <w:sz w:val="20"/>
                <w:szCs w:val="20"/>
              </w:rPr>
              <w:t xml:space="preserve"> sinon par la main de la tyrannie. Les </w:t>
            </w:r>
            <w:proofErr w:type="spellStart"/>
            <w:r w:rsidRPr="003A6E57">
              <w:rPr>
                <w:rFonts w:ascii="Times New Roman" w:hAnsi="Times New Roman"/>
                <w:sz w:val="20"/>
                <w:szCs w:val="20"/>
              </w:rPr>
              <w:t>français</w:t>
            </w:r>
            <w:proofErr w:type="spellEnd"/>
            <w:r w:rsidRPr="003A6E57">
              <w:rPr>
                <w:rFonts w:ascii="Times New Roman" w:hAnsi="Times New Roman"/>
                <w:sz w:val="20"/>
                <w:szCs w:val="20"/>
              </w:rPr>
              <w:t xml:space="preserve"> ont </w:t>
            </w:r>
            <w:proofErr w:type="spellStart"/>
            <w:r w:rsidRPr="003A6E57">
              <w:rPr>
                <w:rFonts w:ascii="Times New Roman" w:hAnsi="Times New Roman"/>
                <w:sz w:val="20"/>
                <w:szCs w:val="20"/>
              </w:rPr>
              <w:t>déja</w:t>
            </w:r>
            <w:proofErr w:type="spellEnd"/>
            <w:r w:rsidRPr="003A6E57">
              <w:rPr>
                <w:rFonts w:ascii="Times New Roman" w:hAnsi="Times New Roman"/>
                <w:sz w:val="20"/>
                <w:szCs w:val="20"/>
              </w:rPr>
              <w:t xml:space="preserve">̀ </w:t>
            </w:r>
            <w:proofErr w:type="spellStart"/>
            <w:r w:rsidRPr="003A6E57">
              <w:rPr>
                <w:rFonts w:ascii="Times New Roman" w:hAnsi="Times New Roman"/>
                <w:sz w:val="20"/>
                <w:szCs w:val="20"/>
              </w:rPr>
              <w:t>découvert</w:t>
            </w:r>
            <w:proofErr w:type="spellEnd"/>
            <w:r w:rsidRPr="003A6E57">
              <w:rPr>
                <w:rFonts w:ascii="Times New Roman" w:hAnsi="Times New Roman"/>
                <w:sz w:val="20"/>
                <w:szCs w:val="20"/>
              </w:rPr>
              <w:t xml:space="preserve"> que la noirceur de la peau n'est nullement une raison pour laquelle un </w:t>
            </w:r>
            <w:proofErr w:type="spellStart"/>
            <w:r w:rsidRPr="003A6E57">
              <w:rPr>
                <w:rFonts w:ascii="Times New Roman" w:hAnsi="Times New Roman"/>
                <w:sz w:val="20"/>
                <w:szCs w:val="20"/>
              </w:rPr>
              <w:t>être</w:t>
            </w:r>
            <w:proofErr w:type="spellEnd"/>
            <w:r w:rsidRPr="003A6E57">
              <w:rPr>
                <w:rFonts w:ascii="Times New Roman" w:hAnsi="Times New Roman"/>
                <w:sz w:val="20"/>
                <w:szCs w:val="20"/>
              </w:rPr>
              <w:t xml:space="preserve"> humain devrait </w:t>
            </w:r>
            <w:proofErr w:type="spellStart"/>
            <w:r w:rsidRPr="003A6E57">
              <w:rPr>
                <w:rFonts w:ascii="Times New Roman" w:hAnsi="Times New Roman"/>
                <w:sz w:val="20"/>
                <w:szCs w:val="20"/>
              </w:rPr>
              <w:t>être</w:t>
            </w:r>
            <w:proofErr w:type="spellEnd"/>
            <w:r w:rsidRPr="003A6E57">
              <w:rPr>
                <w:rFonts w:ascii="Times New Roman" w:hAnsi="Times New Roman"/>
                <w:sz w:val="20"/>
                <w:szCs w:val="20"/>
              </w:rPr>
              <w:t xml:space="preserve"> abandonné sans recours au caprice d'un tourmenteur. Il est possible qu’on reconnaisse un jour que le nombre de jambes, la </w:t>
            </w:r>
            <w:proofErr w:type="spellStart"/>
            <w:r w:rsidRPr="003A6E57">
              <w:rPr>
                <w:rFonts w:ascii="Times New Roman" w:hAnsi="Times New Roman"/>
                <w:sz w:val="20"/>
                <w:szCs w:val="20"/>
              </w:rPr>
              <w:t>pilosite</w:t>
            </w:r>
            <w:proofErr w:type="spellEnd"/>
            <w:r w:rsidRPr="003A6E57">
              <w:rPr>
                <w:rFonts w:ascii="Times New Roman" w:hAnsi="Times New Roman"/>
                <w:sz w:val="20"/>
                <w:szCs w:val="20"/>
              </w:rPr>
              <w:t xml:space="preserve">́ de la peau, ou la terminaison de l’os sacrum, sont des raisons tout aussi insuffisantes d’abandonner un </w:t>
            </w:r>
            <w:proofErr w:type="spellStart"/>
            <w:r w:rsidRPr="003A6E57">
              <w:rPr>
                <w:rFonts w:ascii="Times New Roman" w:hAnsi="Times New Roman"/>
                <w:sz w:val="20"/>
                <w:szCs w:val="20"/>
              </w:rPr>
              <w:t>être</w:t>
            </w:r>
            <w:proofErr w:type="spellEnd"/>
            <w:r w:rsidRPr="003A6E57">
              <w:rPr>
                <w:rFonts w:ascii="Times New Roman" w:hAnsi="Times New Roman"/>
                <w:sz w:val="20"/>
                <w:szCs w:val="20"/>
              </w:rPr>
              <w:t xml:space="preserve"> sensible au </w:t>
            </w:r>
            <w:proofErr w:type="spellStart"/>
            <w:r w:rsidRPr="003A6E57">
              <w:rPr>
                <w:rFonts w:ascii="Times New Roman" w:hAnsi="Times New Roman"/>
                <w:sz w:val="20"/>
                <w:szCs w:val="20"/>
              </w:rPr>
              <w:t>même</w:t>
            </w:r>
            <w:proofErr w:type="spellEnd"/>
            <w:r w:rsidRPr="003A6E57">
              <w:rPr>
                <w:rFonts w:ascii="Times New Roman" w:hAnsi="Times New Roman"/>
                <w:sz w:val="20"/>
                <w:szCs w:val="20"/>
              </w:rPr>
              <w:t xml:space="preserve"> destin. Quel autre [</w:t>
            </w:r>
            <w:proofErr w:type="spellStart"/>
            <w:r w:rsidRPr="003A6E57">
              <w:rPr>
                <w:rFonts w:ascii="Times New Roman" w:hAnsi="Times New Roman"/>
                <w:sz w:val="20"/>
                <w:szCs w:val="20"/>
              </w:rPr>
              <w:t>critère</w:t>
            </w:r>
            <w:proofErr w:type="spellEnd"/>
            <w:r w:rsidRPr="003A6E57">
              <w:rPr>
                <w:rFonts w:ascii="Times New Roman" w:hAnsi="Times New Roman"/>
                <w:sz w:val="20"/>
                <w:szCs w:val="20"/>
              </w:rPr>
              <w:t xml:space="preserve">] devrait tracer la ligne infranchissable? Est-ce la </w:t>
            </w:r>
            <w:proofErr w:type="spellStart"/>
            <w:r w:rsidRPr="003A6E57">
              <w:rPr>
                <w:rFonts w:ascii="Times New Roman" w:hAnsi="Times New Roman"/>
                <w:sz w:val="20"/>
                <w:szCs w:val="20"/>
              </w:rPr>
              <w:t>faculte</w:t>
            </w:r>
            <w:proofErr w:type="spellEnd"/>
            <w:r w:rsidRPr="003A6E57">
              <w:rPr>
                <w:rFonts w:ascii="Times New Roman" w:hAnsi="Times New Roman"/>
                <w:sz w:val="20"/>
                <w:szCs w:val="20"/>
              </w:rPr>
              <w:t xml:space="preserve">́ de raisonner, ou </w:t>
            </w:r>
            <w:proofErr w:type="spellStart"/>
            <w:r w:rsidRPr="003A6E57">
              <w:rPr>
                <w:rFonts w:ascii="Times New Roman" w:hAnsi="Times New Roman"/>
                <w:sz w:val="20"/>
                <w:szCs w:val="20"/>
              </w:rPr>
              <w:t>peut-être</w:t>
            </w:r>
            <w:proofErr w:type="spellEnd"/>
            <w:r w:rsidRPr="003A6E57">
              <w:rPr>
                <w:rFonts w:ascii="Times New Roman" w:hAnsi="Times New Roman"/>
                <w:sz w:val="20"/>
                <w:szCs w:val="20"/>
              </w:rPr>
              <w:t xml:space="preserve"> la </w:t>
            </w:r>
            <w:proofErr w:type="spellStart"/>
            <w:r w:rsidRPr="003A6E57">
              <w:rPr>
                <w:rFonts w:ascii="Times New Roman" w:hAnsi="Times New Roman"/>
                <w:sz w:val="20"/>
                <w:szCs w:val="20"/>
              </w:rPr>
              <w:t>faculte</w:t>
            </w:r>
            <w:proofErr w:type="spellEnd"/>
            <w:r w:rsidRPr="003A6E57">
              <w:rPr>
                <w:rFonts w:ascii="Times New Roman" w:hAnsi="Times New Roman"/>
                <w:sz w:val="20"/>
                <w:szCs w:val="20"/>
              </w:rPr>
              <w:t xml:space="preserve">́ de discourir ? Mais un cheval ou un chien adulte est, </w:t>
            </w:r>
            <w:proofErr w:type="spellStart"/>
            <w:r w:rsidRPr="003A6E57">
              <w:rPr>
                <w:rFonts w:ascii="Times New Roman" w:hAnsi="Times New Roman"/>
                <w:sz w:val="20"/>
                <w:szCs w:val="20"/>
              </w:rPr>
              <w:t>au-dela</w:t>
            </w:r>
            <w:proofErr w:type="spellEnd"/>
            <w:r w:rsidRPr="003A6E57">
              <w:rPr>
                <w:rFonts w:ascii="Times New Roman" w:hAnsi="Times New Roman"/>
                <w:sz w:val="20"/>
                <w:szCs w:val="20"/>
              </w:rPr>
              <w:t xml:space="preserve">̀ de toute comparaison, un animal plus raisonnable, mais aussi plus susceptible de relations sociales, qu’un nourrisson d’un jour ou d’une semaine, ou </w:t>
            </w:r>
            <w:proofErr w:type="spellStart"/>
            <w:r w:rsidRPr="003A6E57">
              <w:rPr>
                <w:rFonts w:ascii="Times New Roman" w:hAnsi="Times New Roman"/>
                <w:sz w:val="20"/>
                <w:szCs w:val="20"/>
              </w:rPr>
              <w:t>même</w:t>
            </w:r>
            <w:proofErr w:type="spellEnd"/>
            <w:r w:rsidRPr="003A6E57">
              <w:rPr>
                <w:rFonts w:ascii="Times New Roman" w:hAnsi="Times New Roman"/>
                <w:sz w:val="20"/>
                <w:szCs w:val="20"/>
              </w:rPr>
              <w:t xml:space="preserve"> d'un mois. Mais supposons que la situation ait </w:t>
            </w:r>
            <w:proofErr w:type="spellStart"/>
            <w:r w:rsidRPr="003A6E57">
              <w:rPr>
                <w:rFonts w:ascii="Times New Roman" w:hAnsi="Times New Roman"/>
                <w:sz w:val="20"/>
                <w:szCs w:val="20"/>
              </w:rPr>
              <w:t>éte</w:t>
            </w:r>
            <w:proofErr w:type="spellEnd"/>
            <w:r w:rsidRPr="003A6E57">
              <w:rPr>
                <w:rFonts w:ascii="Times New Roman" w:hAnsi="Times New Roman"/>
                <w:sz w:val="20"/>
                <w:szCs w:val="20"/>
              </w:rPr>
              <w:t xml:space="preserve">́ </w:t>
            </w:r>
            <w:proofErr w:type="spellStart"/>
            <w:r w:rsidRPr="003A6E57">
              <w:rPr>
                <w:rFonts w:ascii="Times New Roman" w:hAnsi="Times New Roman"/>
                <w:sz w:val="20"/>
                <w:szCs w:val="20"/>
              </w:rPr>
              <w:t>différente</w:t>
            </w:r>
            <w:proofErr w:type="spellEnd"/>
            <w:r w:rsidRPr="003A6E57">
              <w:rPr>
                <w:rFonts w:ascii="Times New Roman" w:hAnsi="Times New Roman"/>
                <w:sz w:val="20"/>
                <w:szCs w:val="20"/>
              </w:rPr>
              <w:t xml:space="preserve">, qu’en </w:t>
            </w:r>
            <w:proofErr w:type="spellStart"/>
            <w:r w:rsidRPr="003A6E57">
              <w:rPr>
                <w:rFonts w:ascii="Times New Roman" w:hAnsi="Times New Roman"/>
                <w:sz w:val="20"/>
                <w:szCs w:val="20"/>
              </w:rPr>
              <w:t>re</w:t>
            </w:r>
            <w:proofErr w:type="spellEnd"/>
            <w:r w:rsidRPr="003A6E57">
              <w:rPr>
                <w:rFonts w:ascii="Times New Roman" w:hAnsi="Times New Roman"/>
                <w:sz w:val="20"/>
                <w:szCs w:val="20"/>
              </w:rPr>
              <w:t>́</w:t>
            </w:r>
            <w:proofErr w:type="spellStart"/>
            <w:r w:rsidRPr="003A6E57">
              <w:rPr>
                <w:rFonts w:ascii="Times New Roman" w:hAnsi="Times New Roman"/>
                <w:sz w:val="20"/>
                <w:szCs w:val="20"/>
              </w:rPr>
              <w:t>sulterait</w:t>
            </w:r>
            <w:proofErr w:type="spellEnd"/>
            <w:r w:rsidRPr="003A6E57">
              <w:rPr>
                <w:rFonts w:ascii="Times New Roman" w:hAnsi="Times New Roman"/>
                <w:sz w:val="20"/>
                <w:szCs w:val="20"/>
              </w:rPr>
              <w:t>-il ? La question n'est pas « peuvent-ils raisonner ? », ni «peuvent-ils parler ? », mais « peuvent-ils souffrir ? ».</w:t>
            </w:r>
          </w:p>
          <w:p w:rsidR="00B2299A" w:rsidRPr="003A6E57" w:rsidRDefault="00B2299A" w:rsidP="00B2299A">
            <w:pPr>
              <w:jc w:val="center"/>
              <w:rPr>
                <w:rFonts w:ascii="Times New Roman" w:hAnsi="Times New Roman"/>
                <w:b/>
                <w:sz w:val="20"/>
                <w:szCs w:val="20"/>
              </w:rPr>
            </w:pPr>
          </w:p>
        </w:tc>
      </w:tr>
    </w:tbl>
    <w:p w:rsidR="00B2299A" w:rsidRPr="003A6E57" w:rsidRDefault="00B2299A" w:rsidP="00B2299A">
      <w:pPr>
        <w:rPr>
          <w:rStyle w:val="lev"/>
          <w:rFonts w:ascii="Times New Roman" w:hAnsi="Times New Roman"/>
          <w:bCs w:val="0"/>
          <w:i/>
          <w:iCs/>
          <w:sz w:val="20"/>
          <w:szCs w:val="20"/>
          <w:shd w:val="clear" w:color="auto" w:fill="FFFFFF"/>
        </w:rPr>
      </w:pPr>
    </w:p>
    <w:p w:rsidR="00B2299A" w:rsidRPr="003A6E57" w:rsidRDefault="00B2299A" w:rsidP="00B2299A">
      <w:pPr>
        <w:rPr>
          <w:rStyle w:val="lev"/>
          <w:rFonts w:ascii="Times New Roman" w:hAnsi="Times New Roman"/>
          <w:b w:val="0"/>
          <w:bCs w:val="0"/>
          <w:iCs/>
          <w:sz w:val="20"/>
          <w:szCs w:val="20"/>
          <w:shd w:val="clear" w:color="auto" w:fill="FFFFFF"/>
        </w:rPr>
      </w:pPr>
      <w:proofErr w:type="spellStart"/>
      <w:r w:rsidRPr="003A6E57">
        <w:rPr>
          <w:rStyle w:val="lev"/>
          <w:rFonts w:ascii="Times New Roman" w:hAnsi="Times New Roman"/>
          <w:b w:val="0"/>
          <w:bCs w:val="0"/>
          <w:iCs/>
          <w:sz w:val="20"/>
          <w:szCs w:val="20"/>
          <w:shd w:val="clear" w:color="auto" w:fill="FFFFFF"/>
        </w:rPr>
        <w:t>Qu</w:t>
      </w:r>
      <w:proofErr w:type="spellEnd"/>
      <w:r w:rsidRPr="003A6E57">
        <w:rPr>
          <w:rStyle w:val="lev"/>
          <w:rFonts w:ascii="Times New Roman" w:hAnsi="Times New Roman"/>
          <w:b w:val="0"/>
          <w:bCs w:val="0"/>
          <w:iCs/>
          <w:sz w:val="20"/>
          <w:szCs w:val="20"/>
          <w:shd w:val="clear" w:color="auto" w:fill="FFFFFF"/>
        </w:rPr>
        <w:t xml:space="preserve"> 1) Quels sont les deux critères que l’on a l’habitude d’utiliser pour justifier la différence de statut de l’homme et de l’animal par rapport à la loi ? </w:t>
      </w:r>
    </w:p>
    <w:p w:rsidR="00B2299A" w:rsidRPr="003A6E57" w:rsidRDefault="00B2299A" w:rsidP="00B2299A">
      <w:pPr>
        <w:rPr>
          <w:rStyle w:val="lev"/>
          <w:rFonts w:ascii="Times New Roman" w:hAnsi="Times New Roman"/>
          <w:b w:val="0"/>
          <w:bCs w:val="0"/>
          <w:iCs/>
          <w:sz w:val="20"/>
          <w:szCs w:val="20"/>
          <w:shd w:val="clear" w:color="auto" w:fill="FFFFFF"/>
        </w:rPr>
      </w:pPr>
      <w:proofErr w:type="spellStart"/>
      <w:r w:rsidRPr="003A6E57">
        <w:rPr>
          <w:rStyle w:val="lev"/>
          <w:rFonts w:ascii="Times New Roman" w:hAnsi="Times New Roman"/>
          <w:b w:val="0"/>
          <w:bCs w:val="0"/>
          <w:iCs/>
          <w:sz w:val="20"/>
          <w:szCs w:val="20"/>
          <w:shd w:val="clear" w:color="auto" w:fill="FFFFFF"/>
        </w:rPr>
        <w:t>Qu</w:t>
      </w:r>
      <w:proofErr w:type="spellEnd"/>
      <w:r w:rsidRPr="003A6E57">
        <w:rPr>
          <w:rStyle w:val="lev"/>
          <w:rFonts w:ascii="Times New Roman" w:hAnsi="Times New Roman"/>
          <w:b w:val="0"/>
          <w:bCs w:val="0"/>
          <w:iCs/>
          <w:sz w:val="20"/>
          <w:szCs w:val="20"/>
          <w:shd w:val="clear" w:color="auto" w:fill="FFFFFF"/>
        </w:rPr>
        <w:t xml:space="preserve"> 2) En quoi sont-ils absurdes ? </w:t>
      </w:r>
    </w:p>
    <w:p w:rsidR="00B2299A" w:rsidRPr="003A6E57" w:rsidRDefault="00B2299A" w:rsidP="00B2299A">
      <w:pPr>
        <w:rPr>
          <w:rStyle w:val="lev"/>
          <w:rFonts w:ascii="Times New Roman" w:hAnsi="Times New Roman"/>
          <w:b w:val="0"/>
          <w:bCs w:val="0"/>
          <w:iCs/>
          <w:sz w:val="20"/>
          <w:szCs w:val="20"/>
          <w:shd w:val="clear" w:color="auto" w:fill="FFFFFF"/>
        </w:rPr>
      </w:pPr>
      <w:proofErr w:type="spellStart"/>
      <w:r w:rsidRPr="003A6E57">
        <w:rPr>
          <w:rStyle w:val="lev"/>
          <w:rFonts w:ascii="Times New Roman" w:hAnsi="Times New Roman"/>
          <w:b w:val="0"/>
          <w:bCs w:val="0"/>
          <w:iCs/>
          <w:sz w:val="20"/>
          <w:szCs w:val="20"/>
          <w:shd w:val="clear" w:color="auto" w:fill="FFFFFF"/>
        </w:rPr>
        <w:t>Qu</w:t>
      </w:r>
      <w:proofErr w:type="spellEnd"/>
      <w:r w:rsidRPr="003A6E57">
        <w:rPr>
          <w:rStyle w:val="lev"/>
          <w:rFonts w:ascii="Times New Roman" w:hAnsi="Times New Roman"/>
          <w:b w:val="0"/>
          <w:bCs w:val="0"/>
          <w:iCs/>
          <w:sz w:val="20"/>
          <w:szCs w:val="20"/>
          <w:shd w:val="clear" w:color="auto" w:fill="FFFFFF"/>
        </w:rPr>
        <w:t xml:space="preserve"> 3) Quel est le critère à prendre en compte pour être un sujet de droits ? </w:t>
      </w:r>
    </w:p>
    <w:p w:rsidR="00B2299A" w:rsidRPr="003A6E57" w:rsidRDefault="00B2299A" w:rsidP="00B2299A">
      <w:pPr>
        <w:jc w:val="center"/>
        <w:rPr>
          <w:rStyle w:val="lev"/>
          <w:rFonts w:ascii="Times New Roman" w:hAnsi="Times New Roman"/>
          <w:bCs w:val="0"/>
          <w:i/>
          <w:iCs/>
          <w:sz w:val="20"/>
          <w:szCs w:val="20"/>
          <w:shd w:val="clear" w:color="auto" w:fill="FFFFFF"/>
        </w:rPr>
      </w:pPr>
    </w:p>
    <w:tbl>
      <w:tblPr>
        <w:tblStyle w:val="Grilledutableau"/>
        <w:tblW w:w="0" w:type="auto"/>
        <w:tblLook w:val="04A0"/>
      </w:tblPr>
      <w:tblGrid>
        <w:gridCol w:w="9210"/>
      </w:tblGrid>
      <w:tr w:rsidR="00B2299A" w:rsidRPr="003A6E57" w:rsidTr="00B2299A">
        <w:tc>
          <w:tcPr>
            <w:tcW w:w="9210" w:type="dxa"/>
          </w:tcPr>
          <w:p w:rsidR="00B2299A" w:rsidRPr="003A6E57" w:rsidRDefault="00B2299A" w:rsidP="00B2299A">
            <w:pPr>
              <w:jc w:val="center"/>
              <w:rPr>
                <w:rStyle w:val="Accentuation"/>
                <w:rFonts w:ascii="Times New Roman" w:hAnsi="Times New Roman"/>
                <w:i w:val="0"/>
                <w:sz w:val="20"/>
                <w:szCs w:val="20"/>
                <w:shd w:val="clear" w:color="auto" w:fill="FFFFFF"/>
              </w:rPr>
            </w:pPr>
            <w:r w:rsidRPr="003A6E57">
              <w:rPr>
                <w:rStyle w:val="lev"/>
                <w:rFonts w:ascii="Times New Roman" w:hAnsi="Times New Roman"/>
                <w:bCs w:val="0"/>
                <w:i/>
                <w:iCs/>
                <w:sz w:val="20"/>
                <w:szCs w:val="20"/>
                <w:shd w:val="clear" w:color="auto" w:fill="FFFFFF"/>
              </w:rPr>
              <w:t xml:space="preserve">Tom </w:t>
            </w:r>
            <w:proofErr w:type="spellStart"/>
            <w:r w:rsidRPr="003A6E57">
              <w:rPr>
                <w:rStyle w:val="lev"/>
                <w:rFonts w:ascii="Times New Roman" w:hAnsi="Times New Roman"/>
                <w:bCs w:val="0"/>
                <w:i/>
                <w:iCs/>
                <w:sz w:val="20"/>
                <w:szCs w:val="20"/>
                <w:shd w:val="clear" w:color="auto" w:fill="FFFFFF"/>
              </w:rPr>
              <w:t>Regan</w:t>
            </w:r>
            <w:proofErr w:type="spellEnd"/>
            <w:r w:rsidRPr="003A6E57">
              <w:rPr>
                <w:rStyle w:val="lev"/>
                <w:rFonts w:ascii="Times New Roman" w:hAnsi="Times New Roman"/>
                <w:bCs w:val="0"/>
                <w:i/>
                <w:iCs/>
                <w:sz w:val="20"/>
                <w:szCs w:val="20"/>
                <w:shd w:val="clear" w:color="auto" w:fill="FFFFFF"/>
              </w:rPr>
              <w:t>, "Les Droits des animaux", 1983</w:t>
            </w:r>
          </w:p>
          <w:p w:rsidR="00B2299A" w:rsidRPr="003A6E57" w:rsidRDefault="00B2299A" w:rsidP="00B2299A">
            <w:pPr>
              <w:jc w:val="both"/>
              <w:rPr>
                <w:rStyle w:val="lev"/>
                <w:rFonts w:ascii="Times New Roman" w:hAnsi="Times New Roman"/>
                <w:b w:val="0"/>
                <w:bCs w:val="0"/>
                <w:sz w:val="20"/>
                <w:szCs w:val="20"/>
              </w:rPr>
            </w:pPr>
            <w:r w:rsidRPr="003A6E57">
              <w:rPr>
                <w:rStyle w:val="Accentuation"/>
                <w:rFonts w:ascii="Times New Roman" w:hAnsi="Times New Roman"/>
                <w:i w:val="0"/>
                <w:sz w:val="20"/>
                <w:szCs w:val="20"/>
                <w:shd w:val="clear" w:color="auto" w:fill="FFFFFF"/>
              </w:rPr>
              <w:t xml:space="preserve">[Les animaux] portent au monde le mystère d'une présence psychologique unifiée. Comme nous, ils possèdent différentes capacités sensorielles, cognitives, conatives et volitives. Ils voient et entendent, croient et désirent, se rappellent et anticipent, dressent des plans et ont des intentions. De plus ce qui leur arrive leur importe (…). Pris collectivement, ces états psychologiques et ces dispositions, et bien d'autres encore, nous aident à définir la vie mentale et le bien-être corrélatif de ces </w:t>
            </w:r>
            <w:proofErr w:type="spellStart"/>
            <w:r w:rsidRPr="003A6E57">
              <w:rPr>
                <w:rStyle w:val="Accentuation"/>
                <w:rFonts w:ascii="Times New Roman" w:hAnsi="Times New Roman"/>
                <w:b/>
                <w:i w:val="0"/>
                <w:sz w:val="20"/>
                <w:szCs w:val="20"/>
                <w:shd w:val="clear" w:color="auto" w:fill="FFFFFF"/>
              </w:rPr>
              <w:t>sujets-d'une-vie</w:t>
            </w:r>
            <w:proofErr w:type="spellEnd"/>
            <w:r w:rsidRPr="003A6E57">
              <w:rPr>
                <w:rStyle w:val="Accentuation"/>
                <w:rFonts w:ascii="Times New Roman" w:hAnsi="Times New Roman"/>
                <w:i w:val="0"/>
                <w:sz w:val="20"/>
                <w:szCs w:val="20"/>
                <w:shd w:val="clear" w:color="auto" w:fill="FFFFFF"/>
              </w:rPr>
              <w:t xml:space="preserve"> (selon ma terminologie) que nous connaissons mieux sous le nom de ratons laveurs et lapins, castors et bisons, écureuils et chimpanzés, vous et moi.</w:t>
            </w:r>
            <w:r w:rsidRPr="003A6E57">
              <w:rPr>
                <w:rFonts w:ascii="Times New Roman" w:hAnsi="Times New Roman"/>
                <w:i/>
                <w:iCs/>
                <w:color w:val="747492"/>
                <w:sz w:val="20"/>
                <w:szCs w:val="20"/>
                <w:shd w:val="clear" w:color="auto" w:fill="FFFFFF"/>
              </w:rPr>
              <w:t> </w:t>
            </w:r>
          </w:p>
        </w:tc>
      </w:tr>
    </w:tbl>
    <w:p w:rsidR="00B2299A" w:rsidRPr="003A6E57" w:rsidRDefault="00B2299A">
      <w:pPr>
        <w:jc w:val="both"/>
        <w:rPr>
          <w:rFonts w:ascii="Times New Roman" w:hAnsi="Times New Roman"/>
          <w:sz w:val="20"/>
          <w:szCs w:val="20"/>
        </w:rPr>
      </w:pPr>
    </w:p>
    <w:sectPr w:rsidR="00B2299A" w:rsidRPr="003A6E57" w:rsidSect="00B2299A">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A0" w:rsidRDefault="00F040A0" w:rsidP="00B2299A">
      <w:pPr>
        <w:spacing w:after="0" w:line="240" w:lineRule="auto"/>
      </w:pPr>
      <w:r>
        <w:separator/>
      </w:r>
    </w:p>
  </w:endnote>
  <w:endnote w:type="continuationSeparator" w:id="0">
    <w:p w:rsidR="00F040A0" w:rsidRDefault="00F040A0" w:rsidP="00B22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A0" w:rsidRDefault="00F040A0" w:rsidP="00B2299A">
      <w:pPr>
        <w:spacing w:after="0" w:line="240" w:lineRule="auto"/>
      </w:pPr>
      <w:r>
        <w:separator/>
      </w:r>
    </w:p>
  </w:footnote>
  <w:footnote w:type="continuationSeparator" w:id="0">
    <w:p w:rsidR="00F040A0" w:rsidRDefault="00F040A0" w:rsidP="00B229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2299A"/>
    <w:rsid w:val="003A6E57"/>
    <w:rsid w:val="005A646D"/>
    <w:rsid w:val="00652179"/>
    <w:rsid w:val="00903E48"/>
    <w:rsid w:val="00927843"/>
    <w:rsid w:val="00A3786F"/>
    <w:rsid w:val="00A7082A"/>
    <w:rsid w:val="00A87844"/>
    <w:rsid w:val="00B2299A"/>
    <w:rsid w:val="00C500C7"/>
    <w:rsid w:val="00F040A0"/>
    <w:rsid w:val="00F14953"/>
    <w:rsid w:val="00F9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9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2299A"/>
    <w:rPr>
      <w:color w:val="0000FF"/>
      <w:u w:val="single"/>
    </w:rPr>
  </w:style>
  <w:style w:type="paragraph" w:customStyle="1" w:styleId="titre2">
    <w:name w:val="titre2"/>
    <w:basedOn w:val="Normal"/>
    <w:rsid w:val="00B2299A"/>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semiHidden/>
    <w:unhideWhenUsed/>
    <w:rsid w:val="00B2299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2299A"/>
    <w:rPr>
      <w:rFonts w:ascii="Calibri" w:eastAsia="Calibri" w:hAnsi="Calibri" w:cs="Times New Roman"/>
    </w:rPr>
  </w:style>
  <w:style w:type="paragraph" w:styleId="Pieddepage">
    <w:name w:val="footer"/>
    <w:basedOn w:val="Normal"/>
    <w:link w:val="PieddepageCar"/>
    <w:uiPriority w:val="99"/>
    <w:semiHidden/>
    <w:unhideWhenUsed/>
    <w:rsid w:val="00B2299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2299A"/>
    <w:rPr>
      <w:rFonts w:ascii="Calibri" w:eastAsia="Calibri" w:hAnsi="Calibri" w:cs="Times New Roman"/>
    </w:rPr>
  </w:style>
  <w:style w:type="table" w:styleId="Grilledutableau">
    <w:name w:val="Table Grid"/>
    <w:basedOn w:val="TableauNormal"/>
    <w:uiPriority w:val="59"/>
    <w:rsid w:val="00B22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B2299A"/>
    <w:rPr>
      <w:i/>
      <w:iCs/>
    </w:rPr>
  </w:style>
  <w:style w:type="character" w:styleId="lev">
    <w:name w:val="Strong"/>
    <w:basedOn w:val="Policepardfaut"/>
    <w:uiPriority w:val="22"/>
    <w:qFormat/>
    <w:rsid w:val="00B229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renoble.fr/PhiloSophie/logphil/oeuvres/descarte/newcastl.htm" TargetMode="External"/><Relationship Id="rId13" Type="http://schemas.openxmlformats.org/officeDocument/2006/relationships/hyperlink" Target="http://www.ac-grenoble.fr/PhiloSophie/logphil/oeuvres/descarte/newcastl.htm" TargetMode="External"/><Relationship Id="rId18" Type="http://schemas.openxmlformats.org/officeDocument/2006/relationships/hyperlink" Target="http://www.ac-grenoble.fr/PhiloSophie/logphil/oeuvres/descarte/newcastl.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c-grenoble.fr/PhiloSophie/logphil/oeuvres/descarte/newcastl.htm" TargetMode="External"/><Relationship Id="rId12" Type="http://schemas.openxmlformats.org/officeDocument/2006/relationships/hyperlink" Target="http://www.ac-grenoble.fr/PhiloSophie/logphil/oeuvres/descarte/newcastl.htm" TargetMode="External"/><Relationship Id="rId17" Type="http://schemas.openxmlformats.org/officeDocument/2006/relationships/hyperlink" Target="http://www.ac-grenoble.fr/PhiloSophie/logphil/oeuvres/descarte/newcastl.htm" TargetMode="External"/><Relationship Id="rId2" Type="http://schemas.openxmlformats.org/officeDocument/2006/relationships/settings" Target="settings.xml"/><Relationship Id="rId16" Type="http://schemas.openxmlformats.org/officeDocument/2006/relationships/hyperlink" Target="http://www.ac-grenoble.fr/PhiloSophie/logphil/oeuvres/descarte/newcastl.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grenoble.fr/PhiloSophie/logphil/oeuvres/descarte/newcastl.htm" TargetMode="External"/><Relationship Id="rId11" Type="http://schemas.openxmlformats.org/officeDocument/2006/relationships/hyperlink" Target="http://www.ac-grenoble.fr/PhiloSophie/logphil/oeuvres/descarte/newcastl.htm" TargetMode="External"/><Relationship Id="rId5" Type="http://schemas.openxmlformats.org/officeDocument/2006/relationships/endnotes" Target="endnotes.xml"/><Relationship Id="rId15" Type="http://schemas.openxmlformats.org/officeDocument/2006/relationships/hyperlink" Target="http://www.ac-grenoble.fr/PhiloSophie/logphil/oeuvres/descarte/newcastl.htm" TargetMode="External"/><Relationship Id="rId10" Type="http://schemas.openxmlformats.org/officeDocument/2006/relationships/hyperlink" Target="http://www.ac-grenoble.fr/PhiloSophie/logphil/oeuvres/descarte/newcastl.htm" TargetMode="External"/><Relationship Id="rId19" Type="http://schemas.openxmlformats.org/officeDocument/2006/relationships/hyperlink" Target="http://www.ac-grenoble.fr/PhiloSophie/logphil/oeuvres/descarte/newcastl.htm" TargetMode="External"/><Relationship Id="rId4" Type="http://schemas.openxmlformats.org/officeDocument/2006/relationships/footnotes" Target="footnotes.xml"/><Relationship Id="rId9" Type="http://schemas.openxmlformats.org/officeDocument/2006/relationships/hyperlink" Target="http://www.ac-grenoble.fr/PhiloSophie/logphil/oeuvres/descarte/newcastl.htm" TargetMode="External"/><Relationship Id="rId14" Type="http://schemas.openxmlformats.org/officeDocument/2006/relationships/hyperlink" Target="http://www.ac-grenoble.fr/PhiloSophie/logphil/oeuvres/descarte/newcastl.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1497</Words>
  <Characters>8235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5</cp:revision>
  <cp:lastPrinted>2022-04-27T15:40:00Z</cp:lastPrinted>
  <dcterms:created xsi:type="dcterms:W3CDTF">2021-05-25T15:21:00Z</dcterms:created>
  <dcterms:modified xsi:type="dcterms:W3CDTF">2022-04-27T15:42:00Z</dcterms:modified>
</cp:coreProperties>
</file>